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295</w:t>
      </w:r>
    </w:p>
    <w:p>
      <w:r>
        <w:t>Bundesgericht (BGE), 2002-01-01, FR</w:t>
      </w:r>
    </w:p>
    <w:p>
      <w:r>
        <w:rPr>
          <w:b/>
        </w:rPr>
        <w:t xml:space="preserve">Quelle: </w:t>
      </w:r>
      <w:r>
        <w:t>https://mcp.opencaselaw.ch/entscheid/bge_128 III 295</w:t>
      </w:r>
    </w:p>
    <w:p>
      <w:r>
        <w:t>FR: ATF 128 III 295</w:t>
      </w:r>
    </w:p>
    <w:p>
      <w:r>
        <w:t>IT: DTF 128 III 295</w:t>
      </w:r>
    </w:p>
    <w:p>
      <w:pPr>
        <w:pStyle w:val="Heading2"/>
      </w:pPr>
      <w:r>
        <w:t>Regeste</w:t>
      </w:r>
    </w:p>
    <w:p>
      <w:r>
        <w:t>Regeste Art. 117 IPRG; Internationales Privatrecht; Anknüpfung des Darlehensvertrages und des Garantievertrages. Haben die Parteien keine abweichende Rechtswahl getroffen, untersteht der Darlehensvertrag dem Recht des Staates, in dem der Darleiher seinen gewöhnlichen Aufenthalt bzw. seine Niederlassung hat (E. 2a). Der Garantievertrag untersteht bei Fehlen einer Rechtswahl dem Recht am Niederlassungsort der Gesellschaft, die das Garantieversprechen abgegeben hat (E. 2b). Art. 144 IPRG; Internationales Privatrecht; Rückgriff zwischen Mitschuldnern. Ein Schuldner kann nur dann auf einen Mitverpflichteten Rückgriff nehmen, wenn das Rückgriffsrecht sowohl nach dem Recht besteht, das die Rechtsbeziehungen, auf Grund welcher der Hauptgläubiger befriedigt wurde, regelt, als auch nach dem Recht, das auf die zwischen dem Hauptgläubiger und dem Rückgriffsschuldner geknüpften Rechtsbeziehungen anwendbar ist (E. 2d). Selbständige oder akzessorische Verpflichtung? Um diese beiden Arten von Sicherstellungen zu unterscheiden, sind nach schweizerischem Recht die charakteristischen Züge der Verpflichtungen nach verschiedenen Indizien zu erforschen. Umschreibung der Indizien für den Bestand einer selbständigen Verpflichtung (E. 2d/bb).</w:t>
      </w:r>
    </w:p>
    <w:p>
      <w:pPr>
        <w:pStyle w:val="Heading2"/>
      </w:pPr>
      <w:r>
        <w:t>Erwägungen</w:t>
      </w:r>
    </w:p>
    <w:p>
      <w:r>
        <w:rPr>
          <w:b/>
        </w:rPr>
        <w:t>E. 1</w:t>
      </w:r>
    </w:p>
    <w:p>
      <w:r>
        <w:t>Se prévalant d'une violation de l'art. 117 de la loi fédérale du 18 décembre 1987 sur le droit international privé (LDIP; RS 291), la recourante principale soutient qu'en raison du lien économique et temporel entre le prêt et la lettre de confort du 18 octobre 1991, un seul droit étranger s'appliquerait, celui de la prestation caractéristique, à savoir le droit du Luxembourg, siège de la banque prêteuse; comme les parties n'ont pas établi ce droit étranger, c'est le droit suisse qui régirait l'ensemble de leurs relations juridiques. Selon la défenderesse, il n'y avait pas de solidarité passive entre les parties au sens de l' art. 143 CO , de sorte que l' art. 148 al. 1 CO n'était pas applicable. Enfin, les magistrats vaudois n'auraient pas dû faire application de l' art. 144 LDIP , puisque la prétendue dette de la société-mère envers la banque n'existait pas. La recourante par voie de jonction soutient que la cour cantonale a violé le droit fédéral en ne lui allouant que la moitié de ses conclusions. A son sens, la Cour civile aurait commis une erreur dans l'application de l' art. 148 CO , du moment qu'un règlement par parts égales après paiement du créancier principal n'aurait pas été convenu entre les parties. Il résulterait en effet des faits établis que la défenderesse devait prendre en charge l'entier du paiement fait à la banque.</w:t>
      </w:r>
    </w:p>
    <w:p>
      <w:r>
        <w:rPr>
          <w:b/>
        </w:rPr>
        <w:t>E. 2</w:t>
      </w:r>
    </w:p>
    <w:p>
      <w:r>
        <w:t>a) Il convient d'analyser tout d'abord le premier rapport juridique qui est à l'origine de la créance litigieuse, à savoir le rapport entre la banque et la société-fille. La qualification doit être opérée selon la loi du for ( ATF 127 III 123 consid. 2c, 553 consid. 2c). Il ressort des constatations cantonales - qui lient le Tribunal fédéral saisi d'un recours en réforme ( art. 63 al. 2 OJ ) - que la banque s'est engagée à mettre des fonds à disposition de la société-fille pour que celle-ci les utilise à son profit, à charge pour elle de rembourser BGE 128 III 295 S. 299 une somme équivalente et de payer l'intérêt convenu. L'accord passé se caractérise, selon la loi du for, comme un prêt de consommation (cf. art. 312 CO ). Il ne résulte pas de l'état de fait déterminant qu'une élection de droit ait été convenue ( art. 116 LDIP ). 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prêt de consommation a pour objet de conférer l'usage d'une somme d'argent ou d'un autre fongible, il faut considérer qu'il s'agit là de la prestation caractéristique ( art. 117 al. 3 let. b LDIP ; pour l'application de cette disposition au prêt de consommation: ATF 123 III 494 consid. 3a). En conséquence, le prêt de consommation, en droit international privé suisse, est régi, en l'absence d'élection, par le droit de l'Etat dans lequel le prêteur a sa résidence habituelle. Du moment que la banque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En l'espèce, il n'a pas été retenu que le contrat aurait été passé avec une succursale. Le rattachement dépend ainsi du siège social de la banque, lequel se trouve dans le Grand-Duché de Luxembourg. Ce contrat est donc régi par le droit luxembourgeois. S'agissant d'une cause patrimoniale, la cour cantonale, faisant usage de la faculté offerte par l' art. 16 al. 1 3 e phrase LDIP, a mis la preuve du droit étranger à la charge des parties. Comme elles n'ont pas apporté cette preuve, le droit suisse s'applique en vertu de l' art. 16 al. 2 LDIP , ce qui n'est d'ailleurs pas contesté en instance de réforme. Lorsque la cour cantonale a appliqué le droit suisse pour le motif que le contenu du droit étranger n'a pas été établi, le Tribunal fédéral, saisi d'un recours en réforme, peut contrôler librement la bonne application du droit fédéral ( ATF 109 III 112 consid. 1). b) Il faut examiner ensuite le second rapport apparu dans l'ordre chronologique, à savoir celui qui serait né de la lettre du 18 octobre 1991 adressée par la société-mère à la banque. BGE 128 III 295 S. 300 Il y a lieu de reprendre ici la même méthode d'analyse que celle employée ci-dessus sous lettre a (cf. aussi ATF 127 III 123 consid. 2c). Il ressort clairement du contenu de cette lettre - tel qu'il a été constaté définitivement par la cour cantonale - que la société-mère a voulu assurer à la banque que la dette de sa société-fille serait honorée. Selon la loi du for, le seul rapport juridique qui peut entrer en considération est le contrat de garantie. Dès lors qu'il n'a pas été retenu qu'une élection de droit ait été convenue, l'existence de ce contrat est régie par la loi de l'établissement - s'agissant de l'exercice d'une activité professionnelle ou commerciale - de la société qui se porte garante, ce qui constitue la prestation caractéristique en vertu de l' art. 117 al. 3 let . e LDIP. Comme il n'apparaît pas que la société-mère ait agi par l'entremise d'une succursale, son établissement se trouve dans l'Etat où elle a son siège ( art. 21 al. 3 LDIP ). Dès l'instant où la société-mère a son siège à Stockholm en Suède, l'existence et les effets du contrat de garantie relèvent, selon le droit international privé suisse, du droit suédois. Le contenu du droit suédois ayant été établi, la cour cantonale a retenu que la lettre du 18 octobre 1991 constituait un engagement de garantie valable en droit suédois et obligeait la société-mère; dès lors que celle-ci a désintéressé le créancier principal, elle dispose, selon le droit suédois, d'un recours pour la totalité de la somme versée contre la débitrice dont elle s'est portée garante. Ces questions relèvent entièrement de l'application du droit étranger désigné par le droit international privé suisse et ne peuvent être revues, s'agissant d'une cause pécuniaire, dans un recours en réforme (cf. ATF 127 III 123 consid. 2f; ATF 126 III 492 consid. 3a). c) Il a été établi en fait que la société-mère a payé la somme due à la banque. La question litigieuse est de savoir si elle peut en demander remboursement à sa société-fille (qui a changé d'actionnaire et de raison sociale, mais qui est demeurée la même personne morale). L'analyse doit s'opérer sur la base des comportements et déclarations constatés de manière souveraine par la cour cantonale ( art. 63 al. 2 OJ ). Il n'est pas concevable que l'engagement de l'emprunteuse et l'engagement de la garante soient totalement indépendants l'un de l'autre en ce sens que la banque pourrait réclamer deux fois la même somme. Une telle construction juridique, dépourvue de toute justification économique, heurterait le bon sens. Cette interprétation des déclarations faites, qui ne trouve du reste aucun point d'appui sérieux dans les constatations cantonales, doit d'emblée être rejetée. BGE 128 III 295 S. 301 On ne peut pas imaginer non plus que la banque doive rembourser la société-mère pour s'adresser à la société-fille. La banque a clairement manifesté la volonté d'être couverte immédiatement par la société-mère et cette dernière a accepté de donner satisfaction à la banque pour conserver ses bonnes relations avec elle. La construction juridique évoquée ne trouve aucune assise dans l'état de fait déterminant. Il apparaît encore moins que la banque doive poursuivre la société-fille pour, après avoir reçu paiement de cette dernière, rembourser la société-mère. Un tel régime obligerait la banque à agir contre la société-fille. Or, c'est précisément ce que la banque ne voulait manifestement pas faire, puisque, lorsque la défenderesse lui a fait savoir qu'elle ne pouvait pas rembourser et lui a proposé un plan d'amortissement, ladite banque s'est adressée à la société-mère afin d'être désintéressée. On doit donc déduire des circonstances, telles qu'elles peuvent être comprises de bonne foi, que le paiement effectué par la société-mère a eu non seulement pour effet de la libérer à l'égard de la banque de l'engagement qu'elle avait pris en vertu du contrat de garantie de droit suédois, mais qu'il a libéré également la société-fille de l'engagement qu'elle avait contracté à l'égard de la banque en vertu du contrat de prêt soumis au droit suisse (applicable comme droit de substitution). Arrivée à ce stade du raisonnement, la Cour civile aurait dû se demander si la société-mère et la société-fille avaient passé un accord entre elles pour déterminer laquelle des deux devait en définitive supporter la charge économique de l'extinction de la dette qu'elles avaient l'une et l'autre contractée à l'égard de la banque. Un tel contrat, qui serait soumis à la loi du siège de la société qui se serait obligée à assumer cette charge, couperait court à la question litigieuse. La société qui se serait engagée à supporter la charge sur le plan interne devrait alors exécuter son obligation contractuelle, sans qu'il y ait lieu de se demander s'il existe ou non un droit de recours en vertu de la loi. Il ressort de la lettre du 18 octobre 1991 que la société-mère partait de l'idée qu'elle ferait en sorte que la société-fille puisse assumer ses obligations; dans son esprit, il incombait manifestement à la société-fille de rembourser la banque. Lors du paiement, la société-mère a clairement expliqué à son ancienne société-fille qu'il s'agissait d'une solution provisoire et que son avocat allait s'adresser à elle. On peut en déduire que la société-mère voulait que la charge BGE 128 III 295 S. 302 économique soit en définitive supportée par la société-fille. Il ne résulte cependant pas des constatations cantonales une déclaration ou un comportement dont on puisse déduire que la société-fille a accepté un tel engagement. Comme un tel accord aurait été soumis au droit suisse (siège de la société-fille), il n'est pas question d'une acceptation tacite s'agissant d'un accord imposant une charge (cf. art. 6 CO ). Dès lors qu'aucun accord entre la société-mère et la société-fille n'a été établi, il y a lieu d'examiner s'il existe un droit de recours en vertu de la loi. d) Consacrant la solution jurisprudentielle retenue en matière de subrogation ( ATF 109 II 65 consid. 1; ATF 107 II 489 ), le législateur, à l' art. 144 al. 1 LDIP , a prévu que le droit international privé suisse ne reconnaît l'existence d'un droit de recours "que dans la mesure où les droits régissant les deux dettes l'admettent". Il faut ainsi que le recours existe aussi bien selon le droit qui régit le rapport juridique en vertu duquel le créancier principal a été désintéressé (en l'espèce: le droit suédois) que selon le droit qui régit le rapport juridique unissant le créancier principal au débiteur recherché sur recours (cf. ATF 118 II 502 consid. 2c; PAOLO MICHELE PATOCCHI/ELLIOTT GEISINGER, Internationales Privatrecht, Zurich 2000, n. 1 et 2 ad art. 144 LDIP ; MAX KELLER/DANIEL GIRSBERGER, IPRG-Kommentar, n. 15 ad art. 144 LDIP ; BERNARD DUTOIT, Commentaire de la loi fédérale du 18 décembre 1987, 3e éd., n. 3 ad art. 144 LDIP ; FELIX DASSER, Commentaire bâlois, n. 6 ad art. 144 LDIP ). aa) La cour cantonale est parvenue à la conclusion que le droit suédois (qui régit la garantie d'espèce) permet au garant qui a payé de recourir pour la totalité contre l'emprunteur qu'il a libéré. Cette question touche la bonne application du droit étranger désigné par le droit international privé suisse et ne peut donc pas être examinée en instance de réforme, puisque la présente contestation est de nature pécuniaire (cf. art. 43a al. 2 OJ a contrario). bb) On doit ensuite se demander si le droit suisse (qui régit par défaut le prêt) accorderait un recours au garant qui a remboursé le prêt. Sur ce point, la cour cantonale s'est égarée. Dès lors que le droit international privé suisse désigne en l'espèce le droit suédois pour régir l'accord résultant de la lettre du 18 octobre 1991 et que ce droit y voit une garantie contractuelle valable, il en résulte nécessairement que l'ordre juridique suisse reconnaît, dans le litige d'espèce, la garantie de droit suédois. Il n'est donc pas question, arrivé au stade BGE 128 III 295 S. 303 de l' art. 144 al. 1 LDIP , de qualifier la lettre selon le droit interne suisse (alors que celui-ci est inapplicable: art. 117 al. 3 let . e LDIP), pour conclure qu'il n'y a pas de garantie valable. Le contrat de prêt étant soumis au droit suisse (le contenu du droit luxembourgeois n'ayant pas été établi), il sied de contrôler si ce droit permet à une personne qui a désintéressé le prêteur, en vertu d'une garantie de droit suédois reconnue en Suisse, de recourir contre l'emprunteur libéré. Certes, le droit suisse ne connaît pas nécessairement une garantie identique à celle du droit suédois. Il faut donc appliquer les principes du droit suisse en matière de recours, en prenant en compte la garantie du droit suédois, telle qu'elle est, et en raisonnant par analogie à son sujet (cf. ATF 107 II 489 consid. 5a). Le droit suisse attache une grande importance à la distinction entre l'engagement indépendant et la garantie accessoire. Pour dire si l'on se trouve en présence d'un engagement indépendant ou d'une garantie accessoire, il recherche les traits caractéristiques de l'engagement, en fonction de plusieurs indices (sur l'ensemble de la question: cf. arrêt 4C.191/1999 du 22 septembre 1999, publié in SJ 2000 I p. 305 ss, consid. 1a). Ainsi, il y a indice en faveur d'un engagement indépendant: - lorsque celui qui s'engage y a un intérêt personnel distinct, plus ou moins équivalent à celui du codébiteur ( ATF 111 II 276 consid. 2b et 2c); - si la somme qu'il s'engage à payer ne correspond pas à celle due par l'autre débiteur ou n'est pas définie par référence à celle-ci ( ATF 113 II 434 consid. 2b); - si l'engagement est pris à un moment où l'on sait que l'autre débiteur ne pourra pas s'exécuter (arrêt 4C.19/1988 du 25 juillet 1988, publié in SJ 1988 p. 553, consid. 1c/aa); - si l'on peut penser que l'engagement aurait été pris même si l'obligation du codébiteur n'existait pas, était nulle ou invalidée ( ATF 125 III 305 consid. 2b). En l'espèce, ces différentes approches aboutissent au même résultat. Les fonds empruntés (qui sont à l'origine de la prétention litigieuse) ont été reçus par la société-fille, qui les a utilisés pour son activité. Etant la destinataire des fonds, elle avait un intérêt primordial à ce que le prêt soit consenti et maintenu; en comparaison, l'intérêt de la société-mère apparaît secondaire et accessoire. BGE 128 III 295 S. 304 L'engagement de la société-mère portait exactement sur la même somme que l'engagement de la société-fille: il s'agissait d'assurer le remboursement du prêt. D'après les constatations cantonales, il n'était nullement certain, au moment de l'envoi de la lettre du 18 octobre 1991, que la société-fille ne serait pas à même de payer; la société-mère ne pouvait donc pas savoir qu'elle allait payer à la place de la société-fille. Il ressort au contraire des termes employés dans l'écriture précitée que la demanderesse avait bon espoir que la dette soit éteinte par la filiale. La société-mère a manifestement voulu aider une filiale naissante et en difficultés financières; on ne peut pas imaginer qu'elle se serait engagée si l'obligation de la filiale avait été nulle ou invalidée. Au vu de ce qui précède, la garantie accordée en l'espèce (qui relève du droit suédois) se caractérise, si on lui applique les concepts du droit suisse, comme une garantie accessoire. Or, s'agissant de garantir la dette d'autrui, le droit suisse accorde systématiquement un recours pour la totalité de son versement au garant qui a désintéressé le créancier principal. On peut se référer à cet égard aux règles sur le cautionnement ( art. 507 al. 1 CO ), à celles sur l'aval ( art. 1022 al. 3 CO ), voire - à supposer que l'on considère le cas comme comparable - à celles sur le payeur par intervention ( art. 1062 al. 1 CO ). Ainsi, la garantie de droit suédois présente les caractéristiques, selon les conceptions suisses, d'une garantie accessoire et le droit suisse reconnaît un recours, pour la totalité de la somme payée, au garant accessoire qui libère le débiteur principal en payant le créancier principal. cc) En conséquence, le droit suédois et le droit suisse admettent que le garant accessoire peut recourir contre l'emprunteur dans toute la mesure où il l'a libéré à l'égard du prêteur. Dès lors, le droit international privé suisse reconnaît l'existence du recours en l'espèce ( art. 144 al. 1 LDIP ). Comme il a été constaté, sans contestation, que la société-mère a payé le montant du capital emprunté et des intérêts, le recours doit être accordé pour le tout, à savoir 1'778'000 fr. en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